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APPENDIX C</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Summons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Rachel Notley</w:t>
      </w:r>
    </w:p>
    <w:p w:rsidR="00000000" w:rsidDel="00000000" w:rsidP="00000000" w:rsidRDefault="00000000" w:rsidRPr="00000000" w14:paraId="00000008">
      <w:pPr>
        <w:rPr>
          <w:sz w:val="24"/>
          <w:szCs w:val="24"/>
        </w:rPr>
      </w:pPr>
      <w:r w:rsidDel="00000000" w:rsidR="00000000" w:rsidRPr="00000000">
        <w:rPr>
          <w:sz w:val="24"/>
          <w:szCs w:val="24"/>
          <w:rtl w:val="0"/>
        </w:rPr>
        <w:t xml:space="preserve">MLA for Edmonton-Strathcona</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NDP Caucus</w:t>
      </w:r>
    </w:p>
    <w:p w:rsidR="00000000" w:rsidDel="00000000" w:rsidP="00000000" w:rsidRDefault="00000000" w:rsidRPr="00000000" w14:paraId="0000000A">
      <w:pPr>
        <w:rPr>
          <w:sz w:val="24"/>
          <w:szCs w:val="24"/>
        </w:rPr>
      </w:pPr>
      <w:r w:rsidDel="00000000" w:rsidR="00000000" w:rsidRPr="00000000">
        <w:rPr>
          <w:sz w:val="24"/>
          <w:szCs w:val="24"/>
          <w:rtl w:val="0"/>
        </w:rPr>
        <w:t xml:space="preserve">5th Floor Edmonton Federal Building</w:t>
      </w:r>
    </w:p>
    <w:p w:rsidR="00000000" w:rsidDel="00000000" w:rsidP="00000000" w:rsidRDefault="00000000" w:rsidRPr="00000000" w14:paraId="0000000B">
      <w:pPr>
        <w:rPr>
          <w:sz w:val="24"/>
          <w:szCs w:val="24"/>
        </w:rPr>
      </w:pPr>
      <w:r w:rsidDel="00000000" w:rsidR="00000000" w:rsidRPr="00000000">
        <w:rPr>
          <w:sz w:val="24"/>
          <w:szCs w:val="24"/>
          <w:rtl w:val="0"/>
        </w:rPr>
        <w:t xml:space="preserve">9820 107 St NW</w:t>
      </w:r>
    </w:p>
    <w:p w:rsidR="00000000" w:rsidDel="00000000" w:rsidP="00000000" w:rsidRDefault="00000000" w:rsidRPr="00000000" w14:paraId="0000000C">
      <w:pPr>
        <w:rPr>
          <w:sz w:val="24"/>
          <w:szCs w:val="24"/>
        </w:rPr>
      </w:pPr>
      <w:r w:rsidDel="00000000" w:rsidR="00000000" w:rsidRPr="00000000">
        <w:rPr>
          <w:sz w:val="24"/>
          <w:szCs w:val="24"/>
          <w:rtl w:val="0"/>
        </w:rPr>
        <w:t xml:space="preserve">Edmonton, Alberta T5K 1E7</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You are hereby summoned to attend before the National Citizens Inquiry at </w:t>
      </w:r>
      <w:r w:rsidDel="00000000" w:rsidR="00000000" w:rsidRPr="00000000">
        <w:rPr>
          <w:sz w:val="24"/>
          <w:szCs w:val="24"/>
          <w:highlight w:val="white"/>
          <w:rtl w:val="0"/>
        </w:rPr>
        <w:t xml:space="preserve">Baymont by Wyndham Red Deer, 4311 49 Avenue, Red Deer, AB</w:t>
      </w:r>
      <w:r w:rsidDel="00000000" w:rsidR="00000000" w:rsidRPr="00000000">
        <w:rPr>
          <w:sz w:val="24"/>
          <w:szCs w:val="24"/>
          <w:rtl w:val="0"/>
        </w:rPr>
        <w:t xml:space="preserve"> on </w:t>
      </w:r>
      <w:r w:rsidDel="00000000" w:rsidR="00000000" w:rsidRPr="00000000">
        <w:rPr>
          <w:color w:val="141827"/>
          <w:sz w:val="24"/>
          <w:szCs w:val="24"/>
          <w:rtl w:val="0"/>
        </w:rPr>
        <w:t xml:space="preserve">April 26 to 28, from 9 am to 5 pm</w:t>
      </w:r>
      <w:r w:rsidDel="00000000" w:rsidR="00000000" w:rsidRPr="00000000">
        <w:rPr>
          <w:sz w:val="24"/>
          <w:szCs w:val="24"/>
          <w:rtl w:val="0"/>
        </w:rPr>
        <w:t xml:space="preserve">, and to remain there until the examination is finished or the Commissioner's order.</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Please note that the Inquiry will be conducting hearings for several months.  Witnesses can also attend virtually.  If you are not able to attend on the Summons date, please email the Commission Administrator at commissioner@nationalcitizensinquiry.ca to arrange a time when you can attend.  Please also note that the Commission has the discretion to schedule a virtual hearing for the purpose of accommodating a witness such as yourself who may not be able to attend any of the scheduled hearing dates.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The National Citizens Inquiry is a citizen-led</w:t>
      </w:r>
      <w:r w:rsidDel="00000000" w:rsidR="00000000" w:rsidRPr="00000000">
        <w:rPr>
          <w:color w:val="000000"/>
          <w:sz w:val="24"/>
          <w:szCs w:val="24"/>
          <w:rtl w:val="0"/>
        </w:rPr>
        <w:t xml:space="preserve"> and citizen-funded inquiry into Canada’s response to Covid-19. Its Rules of Procedure and Terms of Reference are available at </w:t>
      </w:r>
      <w:hyperlink r:id="rId7">
        <w:r w:rsidDel="00000000" w:rsidR="00000000" w:rsidRPr="00000000">
          <w:rPr>
            <w:color w:val="0000ff"/>
            <w:sz w:val="24"/>
            <w:szCs w:val="24"/>
            <w:u w:val="single"/>
            <w:rtl w:val="0"/>
          </w:rPr>
          <w:t xml:space="preserve">https://nationalcitizensinquiry.ca/</w:t>
        </w:r>
      </w:hyperlink>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color w:val="000000"/>
          <w:sz w:val="24"/>
          <w:szCs w:val="24"/>
          <w:rtl w:val="0"/>
        </w:rPr>
        <w:t xml:space="preserve">The Inquiry is independent of government and operates without legal compulsion or coercion. </w:t>
      </w:r>
      <w:r w:rsidDel="00000000" w:rsidR="00000000" w:rsidRPr="00000000">
        <w:rPr>
          <w:sz w:val="24"/>
          <w:szCs w:val="24"/>
          <w:rtl w:val="0"/>
        </w:rPr>
        <w:t xml:space="preserve">A failure to comply with this Summons or with the Inquiry’s Rules of Procedure cannot lead to civil or criminal liability, but it could result in the Commissioners making a finding of misconduct against you.</w:t>
      </w:r>
    </w:p>
    <w:p w:rsidR="00000000" w:rsidDel="00000000" w:rsidP="00000000" w:rsidRDefault="00000000" w:rsidRPr="00000000" w14:paraId="00000015">
      <w:pPr>
        <w:tabs>
          <w:tab w:val="left" w:leader="none" w:pos="8341"/>
        </w:tabs>
        <w:rPr>
          <w:color w:val="000000"/>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The Inquiry’s Rules of Procedure require you to produce copies of all documents in your possession or under your control relevant to the subject-matter of the Inquiry within 10 days of receiving this summons. If you object to producing documents, the Inquiry’s Rules of Procedure require you to deliver to the Commission Administrator at commissioner@nationalcitizensinquiry.ca within 10 days a written objection describing the nature and scope of your objection along with any appropriate supporting material, such as an affidavit or authorities.</w:t>
      </w:r>
    </w:p>
    <w:p w:rsidR="00000000" w:rsidDel="00000000" w:rsidP="00000000" w:rsidRDefault="00000000" w:rsidRPr="00000000" w14:paraId="00000017">
      <w:pPr>
        <w:rPr>
          <w:color w:val="000000"/>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If you have questions about this summons or about the application of the Rules of Procedure, please contact the Inquiry’s Commission Administrator at commissioner@nationalcitizensinquiry.ca</w:t>
      </w:r>
    </w:p>
    <w:p w:rsidR="00000000" w:rsidDel="00000000" w:rsidP="00000000" w:rsidRDefault="00000000" w:rsidRPr="00000000" w14:paraId="00000019">
      <w:pPr>
        <w:rPr>
          <w:sz w:val="24"/>
          <w:szCs w:val="24"/>
          <w:highlight w:val="yellow"/>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Dated April 11, 2023.</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u w:val="single"/>
        </w:rPr>
      </w:pPr>
      <w:r w:rsidDel="00000000" w:rsidR="00000000" w:rsidRPr="00000000">
        <w:rPr>
          <w:rFonts w:ascii="Pinyon Script" w:cs="Pinyon Script" w:eastAsia="Pinyon Script" w:hAnsi="Pinyon Script"/>
          <w:sz w:val="30"/>
          <w:szCs w:val="30"/>
          <w:rtl w:val="0"/>
        </w:rPr>
        <w:t xml:space="preserve">Lyne Vandenplas</w:t>
      </w:r>
      <w:r w:rsidDel="00000000" w:rsidR="00000000" w:rsidRPr="00000000">
        <w:rPr>
          <w:rFonts w:ascii="Pinyon Script" w:cs="Pinyon Script" w:eastAsia="Pinyon Script" w:hAnsi="Pinyon Script"/>
          <w:sz w:val="30"/>
          <w:szCs w:val="30"/>
          <w:u w:val="single"/>
          <w:rtl w:val="0"/>
        </w:rPr>
        <w:t xml:space="preserve"> </w:t>
      </w:r>
      <w:r w:rsidDel="00000000" w:rsidR="00000000" w:rsidRPr="00000000">
        <w:rPr>
          <w:sz w:val="24"/>
          <w:szCs w:val="24"/>
          <w:u w:val="single"/>
          <w:rtl w:val="0"/>
        </w:rPr>
        <w:t xml:space="preserve">                                                            </w:t>
      </w:r>
    </w:p>
    <w:p w:rsidR="00000000" w:rsidDel="00000000" w:rsidP="00000000" w:rsidRDefault="00000000" w:rsidRPr="00000000" w14:paraId="0000001D">
      <w:pPr>
        <w:rPr>
          <w:sz w:val="24"/>
          <w:szCs w:val="24"/>
        </w:rPr>
      </w:pPr>
      <w:r w:rsidDel="00000000" w:rsidR="00000000" w:rsidRPr="00000000">
        <w:rPr>
          <w:sz w:val="24"/>
          <w:szCs w:val="24"/>
          <w:rtl w:val="0"/>
        </w:rPr>
        <w:t xml:space="preserve">Lyne Vandenplas for Ches Crosbie</w:t>
      </w:r>
    </w:p>
    <w:p w:rsidR="00000000" w:rsidDel="00000000" w:rsidP="00000000" w:rsidRDefault="00000000" w:rsidRPr="00000000" w14:paraId="0000001E">
      <w:pPr>
        <w:rPr>
          <w:sz w:val="24"/>
          <w:szCs w:val="24"/>
        </w:rPr>
      </w:pPr>
      <w:r w:rsidDel="00000000" w:rsidR="00000000" w:rsidRPr="00000000">
        <w:rPr>
          <w:sz w:val="24"/>
          <w:szCs w:val="24"/>
          <w:rtl w:val="0"/>
        </w:rPr>
        <w:t xml:space="preserve">Commission Administrator </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jc w:val="center"/>
        <w:rPr>
          <w:b w:val="1"/>
          <w:sz w:val="24"/>
          <w:szCs w:val="24"/>
        </w:rPr>
      </w:pPr>
      <w:r w:rsidDel="00000000" w:rsidR="00000000" w:rsidRPr="00000000">
        <w:rPr>
          <w:rtl w:val="0"/>
        </w:rPr>
      </w:r>
    </w:p>
    <w:sectPr>
      <w:headerReference r:id="rId8" w:type="default"/>
      <w:footerReference r:id="rId9" w:type="default"/>
      <w:pgSz w:h="15840" w:w="12240" w:orient="portrait"/>
      <w:pgMar w:bottom="1134" w:top="1134" w:left="1134" w:right="1134" w:header="227"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Pinyon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1422400</wp:posOffset>
              </wp:positionH>
              <wp:positionV relativeFrom="paragraph">
                <wp:posOffset>9461500</wp:posOffset>
              </wp:positionV>
              <wp:extent cx="3629659" cy="354965"/>
              <wp:effectExtent b="0" l="0" r="0" t="0"/>
              <wp:wrapNone/>
              <wp:docPr id="10" name=""/>
              <a:graphic>
                <a:graphicData uri="http://schemas.microsoft.com/office/word/2010/wordprocessingShape">
                  <wps:wsp>
                    <wps:cNvSpPr/>
                    <wps:cNvPr id="2" name="Shape 2"/>
                    <wps:spPr>
                      <a:xfrm>
                        <a:off x="3554983" y="3626330"/>
                        <a:ext cx="3582034" cy="307340"/>
                      </a:xfrm>
                      <a:custGeom>
                        <a:rect b="b" l="l" r="r" t="t"/>
                        <a:pathLst>
                          <a:path extrusionOk="0" h="307340" w="3582034">
                            <a:moveTo>
                              <a:pt x="0" y="0"/>
                            </a:moveTo>
                            <a:lnTo>
                              <a:pt x="0" y="307340"/>
                            </a:lnTo>
                            <a:lnTo>
                              <a:pt x="3582034" y="307340"/>
                            </a:lnTo>
                            <a:lnTo>
                              <a:pt x="3582034" y="0"/>
                            </a:lnTo>
                            <a:close/>
                          </a:path>
                        </a:pathLst>
                      </a:custGeom>
                      <a:noFill/>
                      <a:ln>
                        <a:noFill/>
                      </a:ln>
                    </wps:spPr>
                    <wps:txbx>
                      <w:txbxContent>
                        <w:p w:rsidR="00000000" w:rsidDel="00000000" w:rsidP="00000000" w:rsidRDefault="00000000" w:rsidRPr="00000000">
                          <w:pPr>
                            <w:spacing w:after="0" w:before="13.999999761581421" w:line="240"/>
                            <w:ind w:left="20" w:right="0" w:firstLine="10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Submit to commissioner@nationalcitizensinquiry.ca</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1422400</wp:posOffset>
              </wp:positionH>
              <wp:positionV relativeFrom="paragraph">
                <wp:posOffset>9461500</wp:posOffset>
              </wp:positionV>
              <wp:extent cx="3629659" cy="354965"/>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29659" cy="3549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143000" cy="506051"/>
          <wp:effectExtent b="0" l="0" r="0" t="0"/>
          <wp:docPr descr="Logo, company name&#10;&#10;Description automatically generated" id="11"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1143000" cy="5060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9" w:lineRule="auto"/>
      <w:ind w:left="18" w:right="360"/>
      <w:jc w:val="center"/>
    </w:pPr>
    <w:rPr>
      <w:b w:val="1"/>
      <w:sz w:val="29"/>
      <w:szCs w:val="29"/>
      <w:u w:val="single"/>
    </w:rPr>
  </w:style>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9" w:lineRule="auto"/>
      <w:ind w:left="18" w:right="360"/>
      <w:jc w:val="center"/>
    </w:pPr>
    <w:rPr>
      <w:b w:val="1"/>
      <w:sz w:val="29"/>
      <w:szCs w:val="29"/>
      <w:u w:val="single"/>
    </w:rPr>
  </w:style>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9" w:lineRule="auto"/>
      <w:ind w:left="18" w:right="360"/>
      <w:jc w:val="center"/>
    </w:pPr>
    <w:rPr>
      <w:b w:val="1"/>
      <w:sz w:val="29"/>
      <w:szCs w:val="29"/>
      <w:u w:val="single"/>
    </w:rPr>
  </w:style>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9" w:lineRule="auto"/>
      <w:ind w:left="18" w:right="360"/>
      <w:jc w:val="center"/>
    </w:pPr>
    <w:rPr>
      <w:b w:val="1"/>
      <w:sz w:val="29"/>
      <w:szCs w:val="29"/>
      <w:u w:val="single"/>
    </w:rPr>
  </w:style>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9" w:lineRule="auto"/>
      <w:ind w:left="18" w:right="360"/>
      <w:jc w:val="center"/>
    </w:pPr>
    <w:rPr>
      <w:b w:val="1"/>
      <w:sz w:val="29"/>
      <w:szCs w:val="29"/>
      <w:u w:val="single"/>
    </w:rPr>
  </w:style>
  <w:style w:type="paragraph" w:styleId="Normal" w:default="1">
    <w:name w:val="Normal"/>
    <w:qFormat w:val="1"/>
    <w:rsid w:val="00E54F96"/>
    <w:rPr>
      <w:rFonts w:ascii="Times New Roman" w:cs="Times New Roman" w:eastAsia="Times New Roman" w:hAnsi="Times New Roman"/>
    </w:rPr>
  </w:style>
  <w:style w:type="paragraph" w:styleId="Heading1">
    <w:name w:val="heading 1"/>
    <w:basedOn w:val="Normal"/>
    <w:uiPriority w:val="9"/>
    <w:qFormat w:val="1"/>
    <w:rsid w:val="00E54F96"/>
    <w:pPr>
      <w:ind w:left="109"/>
      <w:outlineLvl w:val="0"/>
    </w:pPr>
    <w:rPr>
      <w:b w:val="1"/>
      <w:bCs w:val="1"/>
      <w:sz w:val="24"/>
      <w:szCs w:val="24"/>
    </w:rPr>
  </w:style>
  <w:style w:type="paragraph" w:styleId="Heading2">
    <w:name w:val="heading 2"/>
    <w:basedOn w:val="Normal"/>
    <w:next w:val="Normal"/>
    <w:link w:val="Heading2Char"/>
    <w:uiPriority w:val="9"/>
    <w:semiHidden w:val="1"/>
    <w:unhideWhenUsed w:val="1"/>
    <w:qFormat w:val="1"/>
    <w:rsid w:val="003A206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E54F96"/>
    <w:rPr>
      <w:sz w:val="24"/>
      <w:szCs w:val="24"/>
    </w:rPr>
  </w:style>
  <w:style w:type="paragraph" w:styleId="Title">
    <w:name w:val="Title"/>
    <w:basedOn w:val="Normal"/>
    <w:uiPriority w:val="10"/>
    <w:qFormat w:val="1"/>
    <w:rsid w:val="00E54F96"/>
    <w:pPr>
      <w:spacing w:before="129"/>
      <w:ind w:left="18" w:right="360"/>
      <w:jc w:val="center"/>
    </w:pPr>
    <w:rPr>
      <w:b w:val="1"/>
      <w:bCs w:val="1"/>
      <w:sz w:val="29"/>
      <w:szCs w:val="29"/>
      <w:u w:color="000000" w:val="single"/>
    </w:rPr>
  </w:style>
  <w:style w:type="paragraph" w:styleId="ListParagraph">
    <w:name w:val="List Paragraph"/>
    <w:basedOn w:val="Normal"/>
    <w:uiPriority w:val="1"/>
    <w:qFormat w:val="1"/>
    <w:rsid w:val="00E54F96"/>
    <w:pPr>
      <w:ind w:left="926" w:hanging="721"/>
      <w:jc w:val="both"/>
    </w:pPr>
  </w:style>
  <w:style w:type="paragraph" w:styleId="TableParagraph" w:customStyle="1">
    <w:name w:val="Table Paragraph"/>
    <w:basedOn w:val="Normal"/>
    <w:uiPriority w:val="1"/>
    <w:qFormat w:val="1"/>
    <w:rsid w:val="00E54F96"/>
  </w:style>
  <w:style w:type="paragraph" w:styleId="Header">
    <w:name w:val="header"/>
    <w:basedOn w:val="Normal"/>
    <w:link w:val="HeaderChar"/>
    <w:uiPriority w:val="99"/>
    <w:unhideWhenUsed w:val="1"/>
    <w:rsid w:val="00B25CB8"/>
    <w:pPr>
      <w:tabs>
        <w:tab w:val="center" w:pos="4680"/>
        <w:tab w:val="right" w:pos="9360"/>
      </w:tabs>
    </w:pPr>
  </w:style>
  <w:style w:type="character" w:styleId="HeaderChar" w:customStyle="1">
    <w:name w:val="Header Char"/>
    <w:basedOn w:val="DefaultParagraphFont"/>
    <w:link w:val="Header"/>
    <w:uiPriority w:val="99"/>
    <w:rsid w:val="00B25CB8"/>
    <w:rPr>
      <w:rFonts w:ascii="Times New Roman" w:cs="Times New Roman" w:eastAsia="Times New Roman" w:hAnsi="Times New Roman"/>
    </w:rPr>
  </w:style>
  <w:style w:type="paragraph" w:styleId="Footer">
    <w:name w:val="footer"/>
    <w:basedOn w:val="Normal"/>
    <w:link w:val="FooterChar"/>
    <w:uiPriority w:val="99"/>
    <w:unhideWhenUsed w:val="1"/>
    <w:rsid w:val="00B25CB8"/>
    <w:pPr>
      <w:tabs>
        <w:tab w:val="center" w:pos="4680"/>
        <w:tab w:val="right" w:pos="9360"/>
      </w:tabs>
    </w:pPr>
  </w:style>
  <w:style w:type="character" w:styleId="FooterChar" w:customStyle="1">
    <w:name w:val="Footer Char"/>
    <w:basedOn w:val="DefaultParagraphFont"/>
    <w:link w:val="Footer"/>
    <w:uiPriority w:val="99"/>
    <w:rsid w:val="00B25CB8"/>
    <w:rPr>
      <w:rFonts w:ascii="Times New Roman" w:cs="Times New Roman" w:eastAsia="Times New Roman" w:hAnsi="Times New Roman"/>
    </w:rPr>
  </w:style>
  <w:style w:type="paragraph" w:styleId="NormalWeb">
    <w:name w:val="Normal (Web)"/>
    <w:basedOn w:val="Normal"/>
    <w:uiPriority w:val="99"/>
    <w:semiHidden w:val="1"/>
    <w:unhideWhenUsed w:val="1"/>
    <w:rsid w:val="00C2023C"/>
    <w:pPr>
      <w:widowControl w:val="1"/>
      <w:autoSpaceDE w:val="1"/>
      <w:autoSpaceDN w:val="1"/>
      <w:spacing w:after="100" w:afterAutospacing="1" w:before="100" w:beforeAutospacing="1"/>
    </w:pPr>
    <w:rPr>
      <w:sz w:val="24"/>
      <w:szCs w:val="24"/>
      <w:lang w:eastAsia="en-CA" w:val="en-CA"/>
    </w:rPr>
  </w:style>
  <w:style w:type="character" w:styleId="Hyperlink">
    <w:name w:val="Hyperlink"/>
    <w:basedOn w:val="DefaultParagraphFont"/>
    <w:uiPriority w:val="99"/>
    <w:unhideWhenUsed w:val="1"/>
    <w:rsid w:val="00C2023C"/>
    <w:rPr>
      <w:color w:val="0000ff"/>
      <w:u w:val="single"/>
    </w:rPr>
  </w:style>
  <w:style w:type="character" w:styleId="Strong">
    <w:name w:val="Strong"/>
    <w:basedOn w:val="DefaultParagraphFont"/>
    <w:uiPriority w:val="22"/>
    <w:qFormat w:val="1"/>
    <w:rsid w:val="00C2023C"/>
    <w:rPr>
      <w:b w:val="1"/>
      <w:bCs w:val="1"/>
    </w:rPr>
  </w:style>
  <w:style w:type="character" w:styleId="CommentReference">
    <w:name w:val="annotation reference"/>
    <w:basedOn w:val="DefaultParagraphFont"/>
    <w:uiPriority w:val="99"/>
    <w:semiHidden w:val="1"/>
    <w:unhideWhenUsed w:val="1"/>
    <w:rsid w:val="00637010"/>
    <w:rPr>
      <w:sz w:val="16"/>
      <w:szCs w:val="16"/>
    </w:rPr>
  </w:style>
  <w:style w:type="paragraph" w:styleId="CommentText">
    <w:name w:val="annotation text"/>
    <w:basedOn w:val="Normal"/>
    <w:link w:val="CommentTextChar"/>
    <w:uiPriority w:val="99"/>
    <w:unhideWhenUsed w:val="1"/>
    <w:rsid w:val="00637010"/>
    <w:rPr>
      <w:sz w:val="20"/>
      <w:szCs w:val="20"/>
    </w:rPr>
  </w:style>
  <w:style w:type="character" w:styleId="CommentTextChar" w:customStyle="1">
    <w:name w:val="Comment Text Char"/>
    <w:basedOn w:val="DefaultParagraphFont"/>
    <w:link w:val="CommentText"/>
    <w:uiPriority w:val="99"/>
    <w:rsid w:val="00637010"/>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37010"/>
    <w:rPr>
      <w:b w:val="1"/>
      <w:bCs w:val="1"/>
    </w:rPr>
  </w:style>
  <w:style w:type="character" w:styleId="CommentSubjectChar" w:customStyle="1">
    <w:name w:val="Comment Subject Char"/>
    <w:basedOn w:val="CommentTextChar"/>
    <w:link w:val="CommentSubject"/>
    <w:uiPriority w:val="99"/>
    <w:semiHidden w:val="1"/>
    <w:rsid w:val="00637010"/>
    <w:rPr>
      <w:rFonts w:ascii="Times New Roman" w:cs="Times New Roman" w:eastAsia="Times New Roman" w:hAnsi="Times New Roman"/>
      <w:b w:val="1"/>
      <w:bCs w:val="1"/>
      <w:sz w:val="20"/>
      <w:szCs w:val="20"/>
    </w:rPr>
  </w:style>
  <w:style w:type="paragraph" w:styleId="Revision">
    <w:name w:val="Revision"/>
    <w:hidden w:val="1"/>
    <w:uiPriority w:val="99"/>
    <w:semiHidden w:val="1"/>
    <w:rsid w:val="00DD6457"/>
    <w:pPr>
      <w:widowControl w:val="1"/>
      <w:autoSpaceDE w:val="1"/>
      <w:autoSpaceDN w:val="1"/>
    </w:pPr>
    <w:rPr>
      <w:rFonts w:ascii="Times New Roman" w:cs="Times New Roman" w:eastAsia="Times New Roman" w:hAnsi="Times New Roman"/>
    </w:rPr>
  </w:style>
  <w:style w:type="character" w:styleId="UnresolvedMention1" w:customStyle="1">
    <w:name w:val="Unresolved Mention1"/>
    <w:basedOn w:val="DefaultParagraphFont"/>
    <w:uiPriority w:val="99"/>
    <w:semiHidden w:val="1"/>
    <w:unhideWhenUsed w:val="1"/>
    <w:rsid w:val="00D46028"/>
    <w:rPr>
      <w:color w:val="605e5c"/>
      <w:shd w:color="auto" w:fill="e1dfdd" w:val="clear"/>
    </w:rPr>
  </w:style>
  <w:style w:type="character" w:styleId="Heading2Char" w:customStyle="1">
    <w:name w:val="Heading 2 Char"/>
    <w:basedOn w:val="DefaultParagraphFont"/>
    <w:link w:val="Heading2"/>
    <w:uiPriority w:val="9"/>
    <w:semiHidden w:val="1"/>
    <w:rsid w:val="003A206E"/>
    <w:rPr>
      <w:rFonts w:asciiTheme="majorHAnsi" w:cstheme="majorBidi" w:eastAsiaTheme="majorEastAsia" w:hAnsiTheme="majorHAnsi"/>
      <w:color w:val="365f91" w:themeColor="accent1" w:themeShade="0000BF"/>
      <w:sz w:val="26"/>
      <w:szCs w:val="26"/>
    </w:rPr>
  </w:style>
  <w:style w:type="paragraph" w:styleId="TOCHeading">
    <w:name w:val="TOC Heading"/>
    <w:basedOn w:val="Heading1"/>
    <w:next w:val="Normal"/>
    <w:uiPriority w:val="39"/>
    <w:unhideWhenUsed w:val="1"/>
    <w:qFormat w:val="1"/>
    <w:rsid w:val="003A206E"/>
    <w:pPr>
      <w:keepNext w:val="1"/>
      <w:keepLines w:val="1"/>
      <w:widowControl w:val="1"/>
      <w:autoSpaceDE w:val="1"/>
      <w:autoSpaceDN w:val="1"/>
      <w:spacing w:before="240" w:line="259" w:lineRule="auto"/>
      <w:ind w:left="0"/>
      <w:outlineLvl w:val="9"/>
    </w:pPr>
    <w:rPr>
      <w:rFonts w:asciiTheme="majorHAnsi" w:cstheme="majorBidi" w:eastAsiaTheme="majorEastAsia" w:hAnsiTheme="majorHAnsi"/>
      <w:b w:val="0"/>
      <w:bCs w:val="0"/>
      <w:color w:val="365f91" w:themeColor="accent1" w:themeShade="0000BF"/>
      <w:sz w:val="32"/>
      <w:szCs w:val="32"/>
    </w:rPr>
  </w:style>
  <w:style w:type="paragraph" w:styleId="TOC2">
    <w:name w:val="toc 2"/>
    <w:basedOn w:val="Normal"/>
    <w:next w:val="Normal"/>
    <w:autoRedefine w:val="1"/>
    <w:uiPriority w:val="39"/>
    <w:unhideWhenUsed w:val="1"/>
    <w:rsid w:val="003A206E"/>
    <w:pPr>
      <w:spacing w:after="100"/>
      <w:ind w:left="220"/>
    </w:pPr>
  </w:style>
  <w:style w:type="paragraph" w:styleId="TOC1">
    <w:name w:val="toc 1"/>
    <w:basedOn w:val="Normal"/>
    <w:next w:val="Normal"/>
    <w:autoRedefine w:val="1"/>
    <w:uiPriority w:val="39"/>
    <w:unhideWhenUsed w:val="1"/>
    <w:rsid w:val="003A206E"/>
    <w:pPr>
      <w:spacing w:after="1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tionalcitizensinquiry.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zJlx8a9LokHFcIlJLrDyzCIpxg==">AMUW2mVcDaDo9DRZrZowOge2bS9JtTKUAKtIJJLTL99ghImX/NFAK7tGi5KqgdFoVmiqEEmkzYANePVEJ7Zt+rqx/BJRjywLpf5+U17BGeUWXjheIFq0ZJ8=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2023-02-26T15:49:00Z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2023-02-06T00:00:00Z</vt:filetime>
  </property>
  <property fmtid="{D5CDD505-2E9C-101B-9397-08002B2CF9AE}" pid="3" name="Created">
    <vt:filetime>2022-10-17T00:00:00Z</vt:filetime>
  </property>
  <property fmtid="{D5CDD505-2E9C-101B-9397-08002B2CF9AE}" pid="4" name="MediaServiceImageTags">
    <vt:lpwstr/>
  </property>
  <property fmtid="{D5CDD505-2E9C-101B-9397-08002B2CF9AE}" pid="5" name="ContentTypeId">
    <vt:lpwstr>0x0101006C9CC1DCDC068B4E91433EB81E2BD9E1</vt:lpwstr>
  </property>
  <property fmtid="{D5CDD505-2E9C-101B-9397-08002B2CF9AE}" pid="6" name="Creator">
    <vt:lpwstr>Microsoft® Word for Microsoft 365</vt:lpwstr>
  </property>
  <property fmtid="{D5CDD505-2E9C-101B-9397-08002B2CF9AE}" pid="7" name="Producer">
    <vt:lpwstr>Microsoft® Word for Microsoft 365</vt:lpwstr>
  </property>
</Properties>
</file>